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C74634"/>
          <w:sz w:val="19"/>
        </w:rPr>
        <w:t>MODIFIABLE REQUEST FOR PROPOSALS (RFP) TEMPLATE  |  VNA-RFP-001</w:t>
      </w:r>
    </w:p>
    <w:p>
      <w:pPr>
        <w:pStyle w:val="Heading1"/>
      </w:pPr>
      <w:r>
        <w:rPr>
          <w:color w:val="211C16"/>
        </w:rPr>
        <w:t>Request for Proposals (RFP): PowerBuilder to Oracle APEX Migration &amp; Automated PBL Conversion</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C74634"/>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2A231B"/>
          </w:tcPr>
          <w:p>
            <w:r>
              <w:rPr>
                <w:b/>
                <w:color w:val="FFFFFF"/>
                <w:sz w:val="19"/>
              </w:rPr>
              <w:t>Procurement Milestone / Field</w:t>
            </w:r>
          </w:p>
        </w:tc>
        <w:tc>
          <w:tcPr>
            <w:tcW w:type="dxa" w:w="5040"/>
            <w:shd w:val="clear" w:color="auto" w:fill="2A231B"/>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VNA-RFP-001 (Companion to Solution Brief VNA-SB-001)</w:t>
            </w:r>
          </w:p>
        </w:tc>
      </w:tr>
      <w:tr>
        <w:tc>
          <w:tcPr>
            <w:tcW w:type="dxa" w:w="5040"/>
          </w:tcPr>
          <w:p>
            <w:r>
              <w:rPr>
                <w:b/>
              </w:rPr>
              <w:t>RFP Issue Date</w:t>
            </w:r>
          </w:p>
        </w:tc>
        <w:tc>
          <w:tcPr>
            <w:tcW w:type="dxa" w:w="5040"/>
          </w:tcPr>
          <w:p>
            <w:r>
              <w:t>[2026-10-27]</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Sybase / Appeon PowerBuilder (.pbl, .srd, .srw, DataWindows, PowerScript) environment to Oracle APEX 24.2, Oracle REST Data Services (ORDS), PL/SQL Packages &amp; AMP.</w:t>
      </w:r>
    </w:p>
    <w:p>
      <w:pPr>
        <w:pStyle w:val="ListBullet"/>
      </w:pPr>
      <w:r>
        <w:t>Enterprise operations still rely on mission-critical PowerBuilder 6.5 through 2022 desktop applications built 15 to 25 years ago. The original authors have retired, leaving hundreds of thousands of lines of undocumented PowerScript buried inside binary .pbl libraries.</w:t>
      </w:r>
    </w:p>
    <w:p>
      <w:pPr>
        <w:pStyle w:val="ListBullet"/>
      </w:pPr>
      <w:r>
        <w:t>Every PowerBuilder DataWindow (.srd) mixes SQL joins, computed columns, conditional UI formatting, and transaction state directly inside the client binary. Deploying changes requires pushing thick-client installers or maintaining expensive Citrix / RDS terminal server farms.</w:t>
      </w:r>
    </w:p>
    <w:p>
      <w:pPr>
        <w:pStyle w:val="ListBullet"/>
      </w:pPr>
      <w:r>
        <w:t>Manual rewrites fail because business analysts cannot document twenty years of edge-case PowerScript validation rules found in ItemChanged, RowFocusChanged, and UpdateStart events.</w:t>
      </w:r>
    </w:p>
    <w:p>
      <w:pPr>
        <w:pStyle w:val="Heading2"/>
      </w:pPr>
      <w:r>
        <w:rPr>
          <w:color w:val="C74634"/>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C74634"/>
          </w:tcPr>
          <w:p>
            <w:r>
              <w:rPr>
                <w:b/>
                <w:color w:val="FFFFFF"/>
                <w:sz w:val="19"/>
              </w:rPr>
              <w:t>Inventory Dimension</w:t>
            </w:r>
          </w:p>
        </w:tc>
        <w:tc>
          <w:tcPr>
            <w:tcW w:type="dxa" w:w="3360"/>
            <w:shd w:val="clear" w:color="auto" w:fill="C74634"/>
          </w:tcPr>
          <w:p>
            <w:r>
              <w:rPr>
                <w:b/>
                <w:color w:val="FFFFFF"/>
                <w:sz w:val="19"/>
              </w:rPr>
              <w:t>Current Baseline Footprint (Editable)</w:t>
            </w:r>
          </w:p>
        </w:tc>
        <w:tc>
          <w:tcPr>
            <w:tcW w:type="dxa" w:w="3360"/>
            <w:shd w:val="clear" w:color="auto" w:fill="C74634"/>
          </w:tcPr>
          <w:p>
            <w:r>
              <w:rPr>
                <w:b/>
                <w:color w:val="FFFFFF"/>
                <w:sz w:val="19"/>
              </w:rPr>
              <w:t>Target Modernization SLA / Objective</w:t>
            </w:r>
          </w:p>
        </w:tc>
      </w:tr>
      <w:tr>
        <w:tc>
          <w:tcPr>
            <w:tcW w:type="dxa" w:w="3360"/>
          </w:tcPr>
          <w:p>
            <w:r>
              <w:rPr>
                <w:b/>
              </w:rPr>
              <w:t>Legacy Source Stack (Stack X)</w:t>
            </w:r>
          </w:p>
        </w:tc>
        <w:tc>
          <w:tcPr>
            <w:tcW w:type="dxa" w:w="3360"/>
          </w:tcPr>
          <w:p>
            <w:r>
              <w:t>Sybase / Appeon PowerBuilder (.pbl, .srd, .srw, DataWindows, PowerScript)</w:t>
            </w:r>
          </w:p>
        </w:tc>
        <w:tc>
          <w:tcPr>
            <w:tcW w:type="dxa" w:w="3360"/>
          </w:tcPr>
          <w:p>
            <w:r>
              <w:t>Full retirement / modernization</w:t>
            </w:r>
          </w:p>
        </w:tc>
      </w:tr>
      <w:tr>
        <w:tc>
          <w:tcPr>
            <w:tcW w:type="dxa" w:w="3360"/>
          </w:tcPr>
          <w:p>
            <w:r>
              <w:rPr>
                <w:b/>
              </w:rPr>
              <w:t>Target Architecture (Stack Y)</w:t>
            </w:r>
          </w:p>
        </w:tc>
        <w:tc>
          <w:tcPr>
            <w:tcW w:type="dxa" w:w="3360"/>
          </w:tcPr>
          <w:p>
            <w:r>
              <w:t>Oracle APEX 24.2, Oracle REST Data Services (ORDS), PL/SQL Packages &amp; AMP</w:t>
            </w:r>
          </w:p>
        </w:tc>
        <w:tc>
          <w:tcPr>
            <w:tcW w:type="dxa" w:w="3360"/>
          </w:tcPr>
          <w:p>
            <w:r>
              <w:t>Production HA/DR &amp; security governance</w:t>
            </w:r>
          </w:p>
        </w:tc>
      </w:tr>
      <w:tr>
        <w:tc>
          <w:tcPr>
            <w:tcW w:type="dxa" w:w="3360"/>
          </w:tcPr>
          <w:p>
            <w:r>
              <w:rPr>
                <w:b/>
              </w:rPr>
              <w:t>PowerBuilder Windows &amp; UserObjects</w:t>
            </w:r>
          </w:p>
        </w:tc>
        <w:tc>
          <w:tcPr>
            <w:tcW w:type="dxa" w:w="3360"/>
          </w:tcPr>
          <w:p>
            <w:r>
              <w:t>[Insert Count, e.g., 240 windows]</w:t>
            </w:r>
          </w:p>
        </w:tc>
        <w:tc>
          <w:tcPr>
            <w:tcW w:type="dxa" w:w="3360"/>
          </w:tcPr>
          <w:p>
            <w:r>
              <w:t>100% functional parity &amp; optimization</w:t>
            </w:r>
          </w:p>
        </w:tc>
      </w:tr>
      <w:tr>
        <w:tc>
          <w:tcPr>
            <w:tcW w:type="dxa" w:w="3360"/>
          </w:tcPr>
          <w:p>
            <w:r>
              <w:rPr>
                <w:b/>
              </w:rPr>
              <w:t>DataWindow Objects &amp; Reports (.srd)</w:t>
            </w:r>
          </w:p>
        </w:tc>
        <w:tc>
          <w:tcPr>
            <w:tcW w:type="dxa" w:w="3360"/>
          </w:tcPr>
          <w:p>
            <w:r>
              <w:t>[Insert Count, e.g., 450 DataWindows]</w:t>
            </w:r>
          </w:p>
        </w:tc>
        <w:tc>
          <w:tcPr>
            <w:tcW w:type="dxa" w:w="3360"/>
          </w:tcPr>
          <w:p>
            <w:r>
              <w:t>Automated AST &amp; schema uplift</w:t>
            </w:r>
          </w:p>
        </w:tc>
      </w:tr>
      <w:tr>
        <w:tc>
          <w:tcPr>
            <w:tcW w:type="dxa" w:w="3360"/>
          </w:tcPr>
          <w:p>
            <w:r>
              <w:rPr>
                <w:b/>
              </w:rPr>
              <w:t>Query Fan-Out Rationalization (Cloned Reports -&gt; 1 Core SQL + Runtime/Inference Filters)</w:t>
            </w:r>
          </w:p>
        </w:tc>
        <w:tc>
          <w:tcPr>
            <w:tcW w:type="dxa" w:w="3360"/>
          </w:tcPr>
          <w:p>
            <w:r>
              <w:t>[Insert Count, e.g., 75 % fan-out reduction]</w:t>
            </w:r>
          </w:p>
        </w:tc>
        <w:tc>
          <w:tcPr>
            <w:tcW w:type="dxa" w:w="3360"/>
          </w:tcPr>
          <w:p>
            <w:r>
              <w:t>Target rationalization / SLA</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C74634"/>
        </w:rPr>
        <w:t>Section 3: Mandatory Technical Scope of Work &amp; Conversion Matrix</w:t>
      </w:r>
    </w:p>
    <w:p>
      <w:pPr>
        <w:pStyle w:val="ListNumber"/>
      </w:pPr>
      <w:r>
        <w:rPr>
          <w:b/>
        </w:rPr>
        <w:t xml:space="preserve">[REQ-ARCH-01] </w:t>
      </w:r>
      <w:r>
        <w:t>Automated PBL &amp; SRD/SRW AST Parser: Our reverse-engineering engine unpacks binary .pbl archives into ASCII source objects (.srw windows, .srd DataWindows, .sru user objects, .srm menus) and builds a complete Abstract Syntax Tree (AST) and dependency graph.</w:t>
      </w:r>
    </w:p>
    <w:p>
      <w:pPr>
        <w:pStyle w:val="ListNumber"/>
      </w:pPr>
      <w:r>
        <w:rPr>
          <w:b/>
        </w:rPr>
        <w:t xml:space="preserve">[REQ-ARCH-02] </w:t>
      </w:r>
      <w:r>
        <w:t>DataWindow-to-APEX Component Compiler: Tabular, Grid, Freeform, and Master-Detail DataWindows are mapped directly to Oracle APEX 24.2 Interactive Grids, Interactive Reports, and Smart Filters. Computed fields and DropDownDataWindows (DDDW) become Shared List of Values (LOVs).</w:t>
      </w:r>
    </w:p>
    <w:p>
      <w:pPr>
        <w:pStyle w:val="ListNumber"/>
      </w:pPr>
      <w:r>
        <w:rPr>
          <w:b/>
        </w:rPr>
        <w:t xml:space="preserve">[REQ-ARCH-03] </w:t>
      </w:r>
      <w:r>
        <w:t>PowerScript-to-PL/SQL Pushdown: Client-side PowerScript data manipulation and embedded SQL are refactored into compiled, unit-tested Oracle PL/SQL API packages with utPLSQL test harnesses, eliminating chatty client/server network round-trips.</w:t>
      </w:r>
    </w:p>
    <w:p>
      <w:pPr>
        <w:pStyle w:val="ListNumber"/>
      </w:pPr>
      <w:r>
        <w:rPr>
          <w:b/>
        </w:rPr>
        <w:t xml:space="preserve">[REQ-ARCH-04] </w:t>
      </w:r>
      <w:r>
        <w:t>Enterprise Governance via AMP &amp; SQLcl: All converted APEX workspaces are wired into our Application Management Platform (AMP) for centralized SSO (OIDC/SAML), role-based access control, unified auditing, and automated SQLcl Liquibase CI/CD pipelines.</w:t>
      </w:r>
    </w:p>
    <w:p>
      <w:pPr>
        <w:pStyle w:val="ListNumber"/>
      </w:pPr>
      <w:r>
        <w:rPr>
          <w:b/>
        </w:rPr>
        <w:t xml:space="preserve">[REQ-ARCH-05] </w:t>
      </w:r>
      <w:r>
        <w:t>Query Fan-Out Rationalization &amp; Runtime/Inference Filtering: Instead of migrating cloned reports and DataWindows 1-for-1, our AST SQL parser clusters queries by their canonical core JOIN graph, builds governed Oracle 23ai views only for those core queries, and generates dynamic WHERE clauses, faceted filters, and ad-hoc report variations at runtime and via AI inference (APEX 24.2 Smart Filters &amp; Select AI).</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A231B"/>
          </w:tcPr>
          <w:p>
            <w:r>
              <w:rPr>
                <w:b/>
                <w:color w:val="FFFFFF"/>
                <w:sz w:val="19"/>
              </w:rPr>
              <w:t>Req ID</w:t>
            </w:r>
          </w:p>
        </w:tc>
        <w:tc>
          <w:tcPr>
            <w:tcW w:type="dxa" w:w="2520"/>
            <w:shd w:val="clear" w:color="auto" w:fill="2A231B"/>
          </w:tcPr>
          <w:p>
            <w:r>
              <w:rPr>
                <w:b/>
                <w:color w:val="FFFFFF"/>
                <w:sz w:val="19"/>
              </w:rPr>
              <w:t>Legacy Artifact / Baseline Workload</w:t>
            </w:r>
          </w:p>
        </w:tc>
        <w:tc>
          <w:tcPr>
            <w:tcW w:type="dxa" w:w="2520"/>
            <w:shd w:val="clear" w:color="auto" w:fill="2A231B"/>
          </w:tcPr>
          <w:p>
            <w:r>
              <w:rPr>
                <w:b/>
                <w:color w:val="FFFFFF"/>
                <w:sz w:val="19"/>
              </w:rPr>
              <w:t>Required Target Architecture</w:t>
            </w:r>
          </w:p>
        </w:tc>
        <w:tc>
          <w:tcPr>
            <w:tcW w:type="dxa" w:w="2520"/>
            <w:shd w:val="clear" w:color="auto" w:fill="2A231B"/>
          </w:tcPr>
          <w:p>
            <w:r>
              <w:rPr>
                <w:b/>
                <w:color w:val="FFFFFF"/>
                <w:sz w:val="19"/>
              </w:rPr>
              <w:t>Engineering Method &amp; Acceptance Gate</w:t>
            </w:r>
          </w:p>
        </w:tc>
      </w:tr>
      <w:tr>
        <w:tc>
          <w:tcPr>
            <w:tcW w:type="dxa" w:w="2520"/>
          </w:tcPr>
          <w:p>
            <w:r>
              <w:rPr>
                <w:b/>
              </w:rPr>
              <w:t>REQ-01</w:t>
            </w:r>
          </w:p>
        </w:tc>
        <w:tc>
          <w:tcPr>
            <w:tcW w:type="dxa" w:w="2520"/>
          </w:tcPr>
          <w:p>
            <w:r>
              <w:t>PowerBuilder DataWindow (.srd - Grid / Tabular)</w:t>
            </w:r>
          </w:p>
        </w:tc>
        <w:tc>
          <w:tcPr>
            <w:tcW w:type="dxa" w:w="2520"/>
          </w:tcPr>
          <w:p>
            <w:r>
              <w:t>APEX 24.2 Interactive Grid / Interactive Report</w:t>
            </w:r>
          </w:p>
        </w:tc>
        <w:tc>
          <w:tcPr>
            <w:tcW w:type="dxa" w:w="2520"/>
          </w:tcPr>
          <w:p>
            <w:r>
              <w:t>Automated SQL &amp; Column Metadata Compiler</w:t>
            </w:r>
          </w:p>
        </w:tc>
      </w:tr>
      <w:tr>
        <w:tc>
          <w:tcPr>
            <w:tcW w:type="dxa" w:w="2520"/>
          </w:tcPr>
          <w:p>
            <w:r>
              <w:rPr>
                <w:b/>
              </w:rPr>
              <w:t>REQ-02</w:t>
            </w:r>
          </w:p>
        </w:tc>
        <w:tc>
          <w:tcPr>
            <w:tcW w:type="dxa" w:w="2520"/>
          </w:tcPr>
          <w:p>
            <w:r>
              <w:t>Freeform DataWindow &amp; Window Controls (.srw)</w:t>
            </w:r>
          </w:p>
        </w:tc>
        <w:tc>
          <w:tcPr>
            <w:tcW w:type="dxa" w:w="2520"/>
          </w:tcPr>
          <w:p>
            <w:r>
              <w:t>APEX Form Region + Universal Theme 42 Layout</w:t>
            </w:r>
          </w:p>
        </w:tc>
        <w:tc>
          <w:tcPr>
            <w:tcW w:type="dxa" w:w="2520"/>
          </w:tcPr>
          <w:p>
            <w:r>
              <w:t>Grid Coordinate Normalization to Responsive Flex/Grid</w:t>
            </w:r>
          </w:p>
        </w:tc>
      </w:tr>
      <w:tr>
        <w:tc>
          <w:tcPr>
            <w:tcW w:type="dxa" w:w="2520"/>
          </w:tcPr>
          <w:p>
            <w:r>
              <w:rPr>
                <w:b/>
              </w:rPr>
              <w:t>REQ-03</w:t>
            </w:r>
          </w:p>
        </w:tc>
        <w:tc>
          <w:tcPr>
            <w:tcW w:type="dxa" w:w="2520"/>
          </w:tcPr>
          <w:p>
            <w:r>
              <w:t>DropDownDataWindow (DDDW) &amp; Code Tables</w:t>
            </w:r>
          </w:p>
        </w:tc>
        <w:tc>
          <w:tcPr>
            <w:tcW w:type="dxa" w:w="2520"/>
          </w:tcPr>
          <w:p>
            <w:r>
              <w:t>APEX Shared Components List of Values (LOV)</w:t>
            </w:r>
          </w:p>
        </w:tc>
        <w:tc>
          <w:tcPr>
            <w:tcW w:type="dxa" w:w="2520"/>
          </w:tcPr>
          <w:p>
            <w:r>
              <w:t>Deduplicated Schema-Level LOV Generator</w:t>
            </w:r>
          </w:p>
        </w:tc>
      </w:tr>
      <w:tr>
        <w:tc>
          <w:tcPr>
            <w:tcW w:type="dxa" w:w="2520"/>
          </w:tcPr>
          <w:p>
            <w:r>
              <w:rPr>
                <w:b/>
              </w:rPr>
              <w:t>REQ-04</w:t>
            </w:r>
          </w:p>
        </w:tc>
        <w:tc>
          <w:tcPr>
            <w:tcW w:type="dxa" w:w="2520"/>
          </w:tcPr>
          <w:p>
            <w:r>
              <w:t>PowerScript ItemChanged / Validate Events</w:t>
            </w:r>
          </w:p>
        </w:tc>
        <w:tc>
          <w:tcPr>
            <w:tcW w:type="dxa" w:w="2520"/>
          </w:tcPr>
          <w:p>
            <w:r>
              <w:t>APEX Dynamic Actions + PL/SQL Validation Packages</w:t>
            </w:r>
          </w:p>
        </w:tc>
        <w:tc>
          <w:tcPr>
            <w:tcW w:type="dxa" w:w="2520"/>
          </w:tcPr>
          <w:p>
            <w:r>
              <w:t>AST Rule Extraction &amp; Server-Side Pushdown</w:t>
            </w:r>
          </w:p>
        </w:tc>
      </w:tr>
      <w:tr>
        <w:tc>
          <w:tcPr>
            <w:tcW w:type="dxa" w:w="2520"/>
          </w:tcPr>
          <w:p>
            <w:r>
              <w:rPr>
                <w:b/>
              </w:rPr>
              <w:t>REQ-05</w:t>
            </w:r>
          </w:p>
        </w:tc>
        <w:tc>
          <w:tcPr>
            <w:tcW w:type="dxa" w:w="2520"/>
          </w:tcPr>
          <w:p>
            <w:r>
              <w:t>Non-Visual User Objects (NVO / .sru)</w:t>
            </w:r>
          </w:p>
        </w:tc>
        <w:tc>
          <w:tcPr>
            <w:tcW w:type="dxa" w:w="2520"/>
          </w:tcPr>
          <w:p>
            <w:r>
              <w:t>Oracle Database PL/SQL Packages + ORDS REST APIs</w:t>
            </w:r>
          </w:p>
        </w:tc>
        <w:tc>
          <w:tcPr>
            <w:tcW w:type="dxa" w:w="2520"/>
          </w:tcPr>
          <w:p>
            <w:r>
              <w:t>AST Transpilation + utPLSQL Automated Test Suite</w:t>
            </w:r>
          </w:p>
        </w:tc>
      </w:tr>
      <w:tr>
        <w:tc>
          <w:tcPr>
            <w:tcW w:type="dxa" w:w="2520"/>
          </w:tcPr>
          <w:p>
            <w:r>
              <w:rPr>
                <w:b/>
              </w:rPr>
              <w:t>REQ-06</w:t>
            </w:r>
          </w:p>
        </w:tc>
        <w:tc>
          <w:tcPr>
            <w:tcW w:type="dxa" w:w="2520"/>
          </w:tcPr>
          <w:p>
            <w:r>
              <w:t>Composite / Nested Report DataWindows</w:t>
            </w:r>
          </w:p>
        </w:tc>
        <w:tc>
          <w:tcPr>
            <w:tcW w:type="dxa" w:w="2520"/>
          </w:tcPr>
          <w:p>
            <w:r>
              <w:t>APEX Office Print (AOP) / BI Publisher PDF Templates</w:t>
            </w:r>
          </w:p>
        </w:tc>
        <w:tc>
          <w:tcPr>
            <w:tcW w:type="dxa" w:w="2520"/>
          </w:tcPr>
          <w:p>
            <w:r>
              <w:t>Pixel-Perfect Layout &amp; Bind Variable Mapping</w:t>
            </w:r>
          </w:p>
        </w:tc>
      </w:tr>
      <w:tr>
        <w:tc>
          <w:tcPr>
            <w:tcW w:type="dxa" w:w="2520"/>
          </w:tcPr>
          <w:p>
            <w:r>
              <w:rPr>
                <w:b/>
              </w:rPr>
              <w:t>REQ-07</w:t>
            </w:r>
          </w:p>
        </w:tc>
        <w:tc>
          <w:tcPr>
            <w:tcW w:type="dxa" w:w="2520"/>
          </w:tcPr>
          <w:p>
            <w:r>
              <w:t>Cloned Reports / Queries Differing Only by WHERE Clause or Group-By (Query Fan-Out)</w:t>
            </w:r>
          </w:p>
        </w:tc>
        <w:tc>
          <w:tcPr>
            <w:tcW w:type="dxa" w:w="2520"/>
          </w:tcPr>
          <w:p>
            <w:r>
              <w:t>Canonical Core SQL View + APEX 24.2 Runtime / AI Inference Filters</w:t>
            </w:r>
          </w:p>
        </w:tc>
        <w:tc>
          <w:tcPr>
            <w:tcW w:type="dxa" w:w="2520"/>
          </w:tcPr>
          <w:p>
            <w:r>
              <w:t>AST Join-Graph Clustering (75-90% Report Count Reduction)</w:t>
            </w:r>
          </w:p>
        </w:tc>
      </w:tr>
    </w:tbl>
    <w:p>
      <w:pPr>
        <w:pStyle w:val="Heading2"/>
      </w:pPr>
      <w:r>
        <w:rPr>
          <w:color w:val="C74634"/>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How do you extract business logic trapped inside PowerBuilder ItemChanged and Clicked events?   [Evaluator Score: ___ / 10]</w:t>
      </w:r>
    </w:p>
    <w:p>
      <w:pPr>
        <w:pStyle w:val="ListBullet"/>
      </w:pPr>
      <w:r>
        <w:rPr>
          <w:b/>
        </w:rPr>
        <w:t xml:space="preserve">Reference Evaluation Benchmark: </w:t>
      </w:r>
      <w:r>
        <w:t>Our parser decomposes .srw and .sru exports into an Abstract Syntax Tree, separating UI state changes from database validations and DML. UI state toggles become APEX Dynamic Actions, while validations and transactions are compiled into server-side PL/SQL packages.</w:t>
      </w:r>
    </w:p>
    <w:p>
      <w:pPr>
        <w:pStyle w:val="ListBullet"/>
      </w:pPr>
      <w:r>
        <w:rPr>
          <w:b/>
        </w:rPr>
        <w:t xml:space="preserve">Vendor Written Response: </w:t>
      </w:r>
      <w:r>
        <w:t>[Bidder to insert concrete technical architecture and verifiable production proof here]</w:t>
      </w:r>
    </w:p>
    <w:p>
      <w:r>
        <w:rPr>
          <w:b/>
        </w:rPr>
        <w:t>Vendor Question 2: What if our PowerBuilder application runs on Sybase ASE, SQL Anywhere, or SQL Server instead of Oracle?   [Evaluator Score: ___ / 10]</w:t>
      </w:r>
    </w:p>
    <w:p>
      <w:pPr>
        <w:pStyle w:val="ListBullet"/>
      </w:pPr>
      <w:r>
        <w:rPr>
          <w:b/>
        </w:rPr>
        <w:t xml:space="preserve">Reference Evaluation Benchmark: </w:t>
      </w:r>
      <w:r>
        <w:t>We convert both the database tier (Sybase T-SQL / Watcom-SQL to Oracle Database 23ai PL/SQL) and the PowerBuilder UI tier simultaneously, or connect APEX to your external database via ORDS REST Enabled SQL and database links during phased cutover.</w:t>
      </w:r>
    </w:p>
    <w:p>
      <w:pPr>
        <w:pStyle w:val="ListBullet"/>
      </w:pPr>
      <w:r>
        <w:rPr>
          <w:b/>
        </w:rPr>
        <w:t xml:space="preserve">Vendor Written Response: </w:t>
      </w:r>
      <w:r>
        <w:t>[Bidder to insert concrete technical architecture and verifiable production proof here]</w:t>
      </w:r>
    </w:p>
    <w:p>
      <w:r>
        <w:rPr>
          <w:b/>
        </w:rPr>
        <w:t>Vendor Question 3: What is included in the downloadable PDF Solution Brief?   [Evaluator Score: ___ / 10]</w:t>
      </w:r>
    </w:p>
    <w:p>
      <w:pPr>
        <w:pStyle w:val="ListBullet"/>
      </w:pPr>
      <w:r>
        <w:rPr>
          <w:b/>
        </w:rPr>
        <w:t xml:space="preserve">Reference Evaluation Benchmark: </w:t>
      </w:r>
      <w:r>
        <w:t>The 4-page PDF Solution Brief includes the complete PowerBuilder-to-APEX AST Reference Architecture, the DataWindow-to-Interactive-Grid mapping matrix, a sample PBL complexity sizing worksheet, and a 12-week phased cutover blueprint.</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C74634"/>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A231B"/>
          </w:tcPr>
          <w:p>
            <w:r>
              <w:rPr>
                <w:b/>
                <w:color w:val="FFFFFF"/>
                <w:sz w:val="19"/>
              </w:rPr>
              <w:t>Milestone / Phase</w:t>
            </w:r>
          </w:p>
        </w:tc>
        <w:tc>
          <w:tcPr>
            <w:tcW w:type="dxa" w:w="2520"/>
            <w:shd w:val="clear" w:color="auto" w:fill="2A231B"/>
          </w:tcPr>
          <w:p>
            <w:r>
              <w:rPr>
                <w:b/>
                <w:color w:val="FFFFFF"/>
                <w:sz w:val="19"/>
              </w:rPr>
              <w:t>Deliverable &amp; Acceptance Gate</w:t>
            </w:r>
          </w:p>
        </w:tc>
        <w:tc>
          <w:tcPr>
            <w:tcW w:type="dxa" w:w="2520"/>
            <w:shd w:val="clear" w:color="auto" w:fill="2A231B"/>
          </w:tcPr>
          <w:p>
            <w:r>
              <w:rPr>
                <w:b/>
                <w:color w:val="FFFFFF"/>
                <w:sz w:val="19"/>
              </w:rPr>
              <w:t>Fixed Fee (USD)</w:t>
            </w:r>
          </w:p>
        </w:tc>
        <w:tc>
          <w:tcPr>
            <w:tcW w:type="dxa" w:w="2520"/>
            <w:shd w:val="clear" w:color="auto" w:fill="2A231B"/>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(VNA-RFP-001)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VNA-RFP-001  |  https://powerbuilder-to-apex.web.app/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